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2005 13 vom 30. Mai 2005</w:t>
      </w:r>
    </w:p>
    <w:p>
      <w:r>
        <w:t>GR Gerichte, 2005-05-30, DE</w:t>
      </w:r>
    </w:p>
    <w:p>
      <w:r>
        <w:rPr>
          <w:b/>
        </w:rPr>
        <w:t xml:space="preserve">Quelle: </w:t>
      </w:r>
      <w:r>
        <w:t>https://mcp.opencaselaw.ch/entscheid/gr_gerichte_SKA 2005 13</w:t>
      </w:r>
    </w:p>
    <w:p>
      <w:r>
        <w:t>FR: GR_GERICHTE SKA 2005 13 du 30 mai 2005</w:t>
      </w:r>
    </w:p>
    <w:p>
      <w:r>
        <w:t>IT: GR_GERICHTE SKA 2005 13 del 30 maggio 2005</w:t>
      </w:r>
    </w:p>
    <w:p>
      <w:pPr>
        <w:pStyle w:val="Heading2"/>
      </w:pPr>
      <w:r>
        <w:t>Regeste</w:t>
      </w:r>
    </w:p>
    <w:p>
      <w:r>
        <w:t>Konkursinventar (Vormerkung Drittansprüche, Schätzung, Mitwirkung/Unterzeichnung durch den Schuldner) | Beschwerde 17 Abs. 1 SchKG</w:t>
      </w:r>
    </w:p>
    <w:p>
      <w:pPr>
        <w:pStyle w:val="Heading2"/>
      </w:pPr>
      <w:r>
        <w:t>Erwägungen</w:t>
      </w:r>
    </w:p>
    <w:p>
      <w:r>
        <w:rPr>
          <w:b/>
        </w:rPr>
        <w:t>E. 2</w:t>
      </w:r>
    </w:p>
    <w:p>
      <w:r>
        <w:t>A. Nach dem Widerruf einer vorgängig gewährten Nachlassstundung wurde am 1. Juli 2004 über die XY. LTD (im Folgenden XY.; Zweck: Herstellung und Vertrieb von Lehrmitteln in Bau-, Konstruktions- und Spielform, insbesondere von Spielbaukästen, Spielplatzgeräten und Spielmöbelsystemen, Messebau-Systemen, Stahlhochbau-Systemen) der Konkurs eröffnet. Da dem Vernehmen nach auf dem Werksgelände der Schuldnerin bereits der Verlad und Abtransport von Produktions- mitteln im Gange war, begab sich der Konkursbeamte unverzüglich dorthin. Mitar- beiter der XY. waren angewiesen worden, auf allen Spritzgusswerkzeugen ein Pa- pier mit dem Vermerk "Eigentum der PL. SA" anzubringen. Vom Konkursbeamten wurde noch auf dem Gelände die Rückführung aller zum Abtransport bereit gestell- ten Spritzgusswerkzeuge verfügt und durchgesetzt. Mit Hilfe eines Mitarbeiters der XY. wurde eine Überprüfung dieser Werkzeuge auf ihre Vollständigkeit hin vorge- nommen. Ausserdem wurden als Sicherungsmassnahmen die Auswechslung von Türschlössern und Versiegelungen veranlasst. B. Am 20. Juli 2004 fand in den Geschäftsräumlichkeiten der Gemein- schuldnerin die Einvernahme der Schuldnerin in der Person von A., Za./Liechten- stein, Verwaltungsratspräsidentin und einzige Geschäftsführerin der XY. mit Zeich- nungsbefugnis, statt. Unter der Rubrik "Aktiven, ausgeliehene oder gemietete Sa- chen" gab sie unter anderem an: "Spritzwerkzeuge PL.". Gemäss unbestrittener Sachdarstellung des Konkursamtes handelt es sich bei der PL. SA, Luxembourg, um eine Firma deren wirtschaftliche Eigentümerin A. ist. In der Folge wurde das Konkursinventar, teilweise unter Mithilfe von Mitar- beitern der XY., teilweise aufgrund von Geschäftsunterlagen der Gemeinschuldne- rin, des früheren Nachlass-Sachwalters und solchen, welche von den Strafuntersu- chungsbehörden beschlagnahmt worden waren, erstellt und mit der Verwaltungs- ratspräsidenten A. besprochen. Zur Abgabe eines Kommentars zum Konkursinven- tar und seiner Unterzeichnung durch A. kam es indessen nicht, da sich diese zu verschiedenen Terminvorschlägen des Konkursamtes unpässlich stellte. Daraufhin publizierte das Konkursamt am 5./6. Mai 2005 die Auflage von Kollokationsplan, Lastenverzeichnis und Konkursinventar vom 06. Mai 2005 - 26. Mai 2005 im kanto- nalen Amtsblatt und Schweizerischen Handelsamtsblatt, mit einer Anfechtungsfrist für das Konkursinventar vom 6. Mai 2005 bis 17. Mai 2005. C. Gegen das Konkursinventar erhoben sowohl die XY. als auch A. per- sönlich mit Eingabe vom 17. Mai 2005 Beschwerde an den Kantonsgerichtsaus- schuss als Aufsichtsbehörde in Schuldbetreibungs- und Konkurssachen mit den Be-</w:t>
      </w:r>
    </w:p>
    <w:p>
      <w:r>
        <w:rPr>
          <w:b/>
        </w:rPr>
        <w:t>E. 3</w:t>
      </w:r>
    </w:p>
    <w:p>
      <w:r>
        <w:t>gehren, es sei das angefochtene Inventar, unter gesetzlicher Kosten- und Entschä- digungsfolge, aufzuheben und die Aufnahme eines neuen Inventars unter Beach- tung der gesetzlichen Vorschriften anzuordnen. In seiner Vernehmlassung vom 23. Mai 2005 schliesst das Konkursamt Zb. auf Abweisung der Beschwerde. Soweit sachdienlich, ist auf die Begründungen der Beschwerdeanträge und die Akten in den Erwägungen einzugehen. Der Kantonsgerichtsausschuss zieht in Erwägung : 1. Im Konkurs wird das gesamte Vermögen des Gemeinschuldners liqui- diert. Damit eine solche Generalexekution stattfinden kann, muss vorgängig sein sämtliches Vermögen zuverlässig festgestellt werden. Gemäss Art. 221 SchKG schreitet daher das Konkursamt sofort nach Empfang des Konkurserkenntnisses zur Aufnahme des Inventars über das zur Konkursmasse gehörende Vermögen und trifft die zur Sicherung desselben erforderlichen Massnahmen. Das Konkursinventar ist das Verzeichnis des Konkurssubstrats, der Aktiven des Schuldners. Je umfang- reicher die Aktiven sind, desto höher fällt die Konkursdividende der Gläubiger aus und desto weniger Verlustscheine werden gegen den Schuldner ausgestellt. Diesen rechtlich schützenswerten Interessen entsprechend, sind der Schuldner und jeder Gläubiger berechtigt, gegen die Weigerung der Konkursverwaltung, einen Vermö- genswert in das Konkursinventar aufzunehmen, Beschwerde zu führen (vgl. BGE 114 III 22 E. 5b, 64 III 36, Fritzsche/Walder, Schuldbetreibung und Konkurs nach schweizerischem Recht, Bd. I, 3. Aufl., Zürich 1984, § 8 Rz 16). Die Gemeinschuld- nerin XY. LTD in Liquidation und A. -letztere in ihrer Eigenschaft als kollozierte Gläubigerin (Kollokationsplan, act. 03.1.10, S. 27)- sind beschwerdelegitimiert. Auf ihre im Übrigen frist- und formgerecht eingelegte Beschwerde ist einzutreten. 2. Angesichts eines Teils der vorgetragenen Rügen unter Bezugnahme bestimmter Inventarnummern einerseits und des Inhalts des ergänzten und ab dem</w:t>
      </w:r>
    </w:p>
    <w:p>
      <w:r>
        <w:rPr>
          <w:b/>
        </w:rPr>
        <w:t>E. 6</w:t>
      </w:r>
    </w:p>
    <w:p>
      <w:r>
        <w:t>Mai 2005 beim Konkursamt Zb. aufgelegten Konkursinventars andererseits, ist unschwer feststellbar, dass die Beschwerdeführerinnen das öffentlich aufgelegte In- ventar, welches ausschliessliches Anfechtungsobjekt bilden kann, nicht zur Kennt- nis genommen haben. Formell und/oder materiell offensichtlich haltlos sind nament- lich die mit Beschwerde erhobenen Einwände:</w:t>
      </w:r>
    </w:p>
    <w:p>
      <w:r>
        <w:t>4 • es sei die Inventarisierung der Geschäftsräumlichkeiten im 2. Oberge- schoss der Geschäftsliegenschaft unterblieben, denn dies ist vom Kon- kursamt auf Hinweis der Schuldnerin nachgeholt worden (act. 03, S. 2; aufgelegtes Konkursinventar, act. 03.1.12, S. 4 f.); • es sei ein im Eigentum eines Dritten stehender Personenwagen BMW nicht inventarisiert worden, denn dessen Inventarisierung ist unter der Inventar-Nr. 40 erfolgt (act. 03.1.12, S. 5); • es würden die von der PL. SA, Luxembourg, als ihr Drittgut angespro- chenen Spritzgusswerkzeuge die Inventar-Nr. 53 betreffen, denn diese sind unter der Inventar-Nr. 61 inventarisiert worden (act. 03.1.12, S. 7); • es sei die Schätzung der Inventar-Nr. 61 (Spritzgusswerkzeuge) mit einer Spannweite von Fr. 0.— bis Fr. 6 Mio. vollkommen unklar, denn im auf- gelegten Inventar ist die konkursamtliche Schätzung mit Fr. 3 Mio. ange- geben, verbunden mit der Bemerkung "Versicherungswert Fr. 6 Mio., nur bei Weiterführung des Betriebes, andernfalls wertlos"; • es fehle die Liste mit den Standorten der Spritzgusswerkzeuge, auf wel- che im Konkursinventar verweisen werde, denn diese Liste liegt dem pu- blizierten Konkursinventar bei (act. 03.1.15); • es habe das Konkursamt eine von der Beschwerdeführerin A. bereits am</w:t>
      </w:r>
    </w:p>
    <w:p>
      <w:r>
        <w:rPr>
          <w:b/>
        </w:rPr>
        <w:t>E. 8</w:t>
      </w:r>
    </w:p>
    <w:p>
      <w:r>
        <w:t>ziehe, sei Strafanzeige wegen Bilanzfälschung einzureichen. Im Beschwerdever- fahren liess das Konkursamt vernehmen, es habe die Spritzgusswerkzeuge nicht als Eigentum der PL. SA akzeptiert, weil diese in der Bilanz der XY. vom 31.12.2003 als Aktiven aufgeführt seien und die Rechnungen der Hersteller allesamt auf die IY. AG, respektive die XY. Ltd. lauteten. Im Weiteren seien bei der konkursitin keine Belege auffindbar gewesen, aus welchen entsprechende Zahlungen der PL. SA zu Gunsten der IY. AG respektive zu Gunsten der XY. Ltd. für die Übernahme der Werkzeuge hervorgingen. c. Unter den für das Konkursverfahren massgeblichen Gesichtspunkten lässt sich die Rechtsauffassung des Konkursamtes nicht halten. Gemäss Art. 225 SchKG sind Sachen, welche als Eigentum dritter Personen bezeichnet oder von dritten Personen als ihr Eigentum beansprucht werden, unter Vormerkung dieses Umstandes gleichwohl im Inventar aufzuzeichnen. Nach ausdrücklicher gesetzli- cher Vorgabe ist dabei unerheblich, ob der Drittansprecher selbst den Anspruch angemeldet hat oder die Sache vom Gemeinschuldner oder einer anderen Person als Dritteigentum bezeichnet wird (Art. 45 KOV). Dass A. wirtschaftliche Eigentüme- rin der Drittansprecherin PL. SA sein soll, tut ebenfalls nichts zur Sache. Das Erstellen des Inventars ist eine rein interne Massnahme der Konkursver- waltung, die keine Wirkung gegenüber ausserhalb des Betreibungsverfahrens ste- henden Dritten entfaltet (BGE 112 III 1, 90 III 19 E. 1). Da es sich beim Streit über den Bestand/Umfang eines Aussonderungsanspruchs um eine Frage des materiel- len Rechts handelt, entscheiden darüber nicht die Vollstreckungsbehörden sondern der Sachrichter. Es ist dem Konkursamt unbenommen, gestellte Aussonderungsan- sprüche Dritter namens der Masse anzuerkennen oder zurückzuweisen. Dies ist jedoch nicht ein Entscheid über Rechtsbestand, sondern vielmehr bloss die (vorläu- fige) Einnahme einer Rechtsposition der Konkursmasse gegenüber dem Drittan- spruch. Bei der vorangehenden Erstellung des Konkursinventars hat das Konkur- samt bloss konkursrechtliche Fragen zu überprüfen. Die Beurteilung streitiger ma- teriellrechtlicher Fragen fällt dabei nicht in seine Kompetenz. Namentlich hat es we- der selbst nach materiellrechtlichen Gesichtspunkten abschliessend abzuklären, ob eine Forderung des Schuldners dem Grundsatz nach und in welchem Ausmass be- gründet und durchsetzbar ist, noch ob die angemeldeten Aussonderungsansprüche objektiv rechtens sind. Daran ändert der Umstand nichts, dass vorliegend mit der Aufführung besagter Spritzgusswerkzeuge in der Bilanz der Konkursitin einerseits und mit der Bezeichnung dieser Waren als Eigentum der PL. SA andererseits ein Widerspruch in der Eigentumsfrage entsteht. Das Konkursamt ist nicht berufen, die-</w:t>
      </w:r>
    </w:p>
    <w:p>
      <w:r>
        <w:rPr>
          <w:b/>
        </w:rPr>
        <w:t>E. 9</w:t>
      </w:r>
    </w:p>
    <w:p>
      <w:r>
        <w:t>sen Widerspruch zu lösen, indem es die Vormerkung des Drittanspruchs im Kon- kursinventar verweigert. Es hat lediglich zu prüfen, ob ein Drittanspruch hinreichend klar erhoben worden ist; wenn ja, liegt die unausweichliche Konsequenz in der Vor- merkung gemäss Art. 225 SchKG. Vorliegend wurden die umstrittenen Spritzguss- werkzeuge gemäss Sachverhaltsdarstellung des Konkursamtes bereits am Tag der Konkurseröffnung von der Gemeinschuldnerin als Eigentum der PL. SA bezeichnet. Das hat auch das Konkursamt erkannt. Insoweit ist die Beschwerde gutzuheissen. Das Konkursamt Zb. wird angewiesen, bei der Inventar-Nr. 61 den Dritteigentums- anspruch der PL. SA, in der entsprechenden Kolonne vorzumerken. Falls das für die Konkursmasse handelnde Amt den Drittanspruch bestreitet, wird an gleicher Stelle üblicherweise und in Anwendung von Art. 242 Abs. 2 SchKG auf eine ent- sprechende separate Verfügung des Konkursamtes hingewiesen. Aus dem Konkur- sinventar und den eingereichten Akten ist zwar nicht ersichtlich, ob das Konkursamt eine derartige Verfügung im Sinne von Art. 242 Abs. 2 SchKG/36 KOV (Ansetzung einer Klagefrist) getroffen hat. Dies muss indessen angenommen werden, ange- sichts der unwidersprochenen Sachdarstellung des Konkursamtes und der Tatsa- che, dass die PL. SA beim Kreispräsidenten Maienfeld am oder vor dem 9. Mai 2005 denn auch eine entsprechende Klage gegen die Konkursmasse zur Vermittlung an- gemeldet hat. Insoweit erübrigt sich folglich eine Ergänzung des Konkursinventars. 6.a. Teilweise berechtigt ist schliesslich die Rüge, es seien die formellen Vorschriften beim Abschluss des Konkursinventars verletzt worden. Irrig ist hinge- gen die Meinung der Beschwerdeführerinnen, es habe die Gemeinschuldnerin das Konkursinventar quasi als richtig anzuerkennen, bevor es aufgelegt werden dürfe. b. Gemäss Art. 228 SchKG ist das Konkursinventar dem Schuldner vor- zulegen, mit der Aufforderung, sich über dessen Vollständigkeit und Richtigkeit zu erklären, wobei diese Erklärung in das Inventar aufzunehmen und von ihm zu un- terzeichnen ist. Art. 29 Abs. 3 und 4 KOV konkretisieren, dass der Schuldner dabei auf die Straffolgen einer unvollständigen Vermögensangabe ausdrücklich aufmerk- sam zu machen ist und seine Erklärungen mit Bezug auf jede Abteilung des Inven- tars zu protokollieren und von ihm zu unterzeichnen sind. Ist der Gemeinschuldner gestorben oder flüchtig, so hat das Konkursamt seine erwachsenen Hausgenossen zur Abgabe dieser Erklärungen anzuhalten (Art. 30 Abs. 1 KOV). Können die Er- klärungen nicht erhältlich gemacht werden, so ist der Grund ihres Fehlens vorzu- merken (Art. 30 Abs. 2 KOV). Gemäss Aktenlage (act. 03.1.7-9) und Vernehmlas- sung scheint die Vorinstanz davon ausgegangen zu sein, dass die im Fürstentum Liechtenstein wohnhafte A. als einziges zeichnungsberechtigtes Organ einerseits</w:t>
      </w:r>
    </w:p>
    <w:p>
      <w:r>
        <w:rPr>
          <w:b/>
        </w:rPr>
        <w:t>E. 10</w:t>
      </w:r>
    </w:p>
    <w:p>
      <w:r>
        <w:t>nicht bereit war, innert nützlicher Frist zwecks Erklärung zum Inventar und zu seiner Unterzeichnung zu erscheinen und andererseits die Zeit drängte. Es kann dahinge- stellt bleiben, welches hier die genau zutreffenden Sachverhalte sind und ob die Gründe für ein Vorgehen des Amtes nach Art. 30 Abs. 2 KOV gegeben waren. Na- mentlich kann offen bleiben, ob zureichende Gründe für die Terminverschiebungen durch A. gegeben waren. Wenn die Vorinstanz entschied, ihre Erklärung und Un- terschrift seien nicht erhältlich, hätte sie diese Umstand und die Gründe jedenfalls im Konkursinventar protokollieren müssen. Das ist unterblieben (act. 03.1.12, S. 13). Nachdem der vorliegende Entscheid aus anderen Gründen eine Abänderung des angefochtenen Konkursinventars zur Folge hat (Vormerkung des Drittan- spruchs der PL. SA), ist zum Inventar die erneute Erklärung der Schuldnerin einzu- holen; ausserdem ist es den Betroffenen erneut mitzuteilen beziehungsweise öf- fentlich aufzulegen. Dabei ist hinsichtlich der Einholung der Schuldnererklärung nicht ohne Umschweife nach Art. 30 KOV zu verfahren, sondern vorab gemäss Art. 228 SchKG/Art. 29 KOV, denn es kann nicht gesagt werden, es sei von vorneherein absehbar, dass die verantwortlichen Organe der Gemeinschuldnerin ihren entspre- chenden Mitwirkungspflichten nicht nachkommen werden. 7. Die Beschwerdeführerinnen beantragen einen Entscheid "unter ge- setzlicher Kosten- und Entschädigungsfolge". Das Gesetz bestimmt, dass es keine solchen Folgen gibt (Art. 20a Abs. 1 Satz 1 SchKG, Art. 61 Abs. 2 lit. a und Art. 62 Abs. 2 GebV SchKG in Verbindung mit Art. 26 der kantonalen Vollziehungsverord- nung zum Bundesgesetz über Schuldbetreibung und Konkurs, GVV zum SchKG).</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